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2E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  <w:t>政策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解读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  <w:lang w:eastAsia="zh-CN"/>
        </w:rPr>
        <w:t>：</w:t>
      </w:r>
      <w:r>
        <w:rPr>
          <w:rFonts w:hint="eastAsia" w:ascii="方正小标宋简体" w:hAnsi="方正小标宋简体" w:eastAsia="方正小标宋简体"/>
          <w:color w:val="000000"/>
          <w:sz w:val="44"/>
          <w:szCs w:val="44"/>
        </w:rPr>
        <w:t>枣庄市住房公积金人才支持政策</w:t>
      </w:r>
    </w:p>
    <w:p w14:paraId="786288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/>
          <w:color w:val="000000"/>
          <w:sz w:val="44"/>
          <w:szCs w:val="44"/>
        </w:rPr>
      </w:pPr>
    </w:p>
    <w:p w14:paraId="51905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为助力“强工兴产、转型突围”目标，吸引人才返枣留枣就业创业，枣庄市推出住房公积金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人才“榴枣安居”</w:t>
      </w:r>
      <w:r>
        <w:rPr>
          <w:rFonts w:hint="eastAsia" w:ascii="仿宋_GB2312" w:hAnsi="仿宋_GB2312" w:eastAsia="仿宋_GB2312"/>
          <w:sz w:val="32"/>
          <w:szCs w:val="32"/>
        </w:rPr>
        <w:t>专项支持政策，重点解决人才住房问题。以下是政策核心内容解读：</w:t>
      </w:r>
    </w:p>
    <w:p w14:paraId="35410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一、适用对象</w:t>
      </w:r>
    </w:p>
    <w:p w14:paraId="59992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政策覆盖两类人才，按层次享受差异化支持：</w:t>
      </w:r>
    </w:p>
    <w:p w14:paraId="309D3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Ⅰ类人才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：</w:t>
      </w:r>
    </w:p>
    <w:p w14:paraId="4E526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1.通过“一事一议”引进的顶尖人才；  </w:t>
      </w:r>
    </w:p>
    <w:p w14:paraId="22DB3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2.持有“山东惠才卡”或“枣庄惠才卡”的高层次人才；  </w:t>
      </w:r>
    </w:p>
    <w:p w14:paraId="38078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3.未持卡但被认定为《枣庄市人才分类目录》中A、B、C、D类的人才（需经公积金中心会同组织部、人社局认定）。  </w:t>
      </w:r>
    </w:p>
    <w:p w14:paraId="0AA0B2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Ⅱ类人才</w:t>
      </w:r>
      <w:r>
        <w:rPr>
          <w:rFonts w:hint="eastAsia" w:ascii="楷体_GB2312" w:hAnsi="楷体_GB2312" w:eastAsia="楷体_GB2312"/>
          <w:b/>
          <w:bCs/>
          <w:sz w:val="32"/>
          <w:szCs w:val="32"/>
          <w:lang w:eastAsia="zh-CN"/>
        </w:rPr>
        <w:t>：</w:t>
      </w:r>
    </w:p>
    <w:p w14:paraId="41C74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/>
          <w:sz w:val="32"/>
          <w:szCs w:val="32"/>
        </w:rPr>
        <w:t xml:space="preserve">45岁及以下在岗博士；  </w:t>
      </w:r>
    </w:p>
    <w:p w14:paraId="4EC69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/>
          <w:sz w:val="32"/>
          <w:szCs w:val="32"/>
        </w:rPr>
        <w:t xml:space="preserve">35岁及以下硕士；  </w:t>
      </w:r>
    </w:p>
    <w:p w14:paraId="521F9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/>
          <w:sz w:val="32"/>
          <w:szCs w:val="32"/>
        </w:rPr>
        <w:t>择优引进的市外在编人员、优选高素质人才。</w:t>
      </w:r>
    </w:p>
    <w:p w14:paraId="78244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二、核心政策亮点</w:t>
      </w:r>
    </w:p>
    <w:p w14:paraId="699E6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（一）缴存灵活化</w:t>
      </w:r>
    </w:p>
    <w:p w14:paraId="4601D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Ⅰ类人才：缴存基数可按全市上限核定（若未达上限）；  </w:t>
      </w:r>
    </w:p>
    <w:p w14:paraId="374120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达到</w:t>
      </w:r>
      <w:r>
        <w:rPr>
          <w:rFonts w:hint="eastAsia" w:ascii="仿宋_GB2312" w:hAnsi="仿宋_GB2312" w:eastAsia="仿宋_GB2312"/>
          <w:sz w:val="32"/>
          <w:szCs w:val="32"/>
        </w:rPr>
        <w:t>退休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年龄</w:t>
      </w:r>
      <w:r>
        <w:rPr>
          <w:rFonts w:hint="eastAsia" w:ascii="仿宋_GB2312" w:hAnsi="仿宋_GB2312" w:eastAsia="仿宋_GB2312"/>
          <w:sz w:val="32"/>
          <w:szCs w:val="32"/>
        </w:rPr>
        <w:t>后仍可继续缴存至解除劳动关系或正式退休。</w:t>
      </w:r>
    </w:p>
    <w:p w14:paraId="43188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（二）提取便利化</w:t>
      </w:r>
    </w:p>
    <w:p w14:paraId="7ADFA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1.购房提取（仅限Ⅰ类）：</w:t>
      </w:r>
      <w:r>
        <w:rPr>
          <w:rFonts w:hint="eastAsia" w:ascii="仿宋_GB2312" w:hAnsi="仿宋_GB2312" w:eastAsia="仿宋_GB2312"/>
          <w:sz w:val="32"/>
          <w:szCs w:val="32"/>
        </w:rPr>
        <w:t>全款购房后，3年内每年可提取本人及配偶、父母、子女公积金，累计提取总额≤房款总额；</w:t>
      </w:r>
    </w:p>
    <w:p w14:paraId="33DC8E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若已办理公积金贷款，提取额+贷款额≤房款总额。</w:t>
      </w:r>
    </w:p>
    <w:p w14:paraId="4EC99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2.租房提取（Ⅰ类、Ⅱ类均适用）：</w:t>
      </w:r>
      <w:r>
        <w:rPr>
          <w:rFonts w:hint="eastAsia" w:ascii="仿宋_GB2312" w:hAnsi="仿宋_GB2312" w:eastAsia="仿宋_GB2312"/>
          <w:sz w:val="32"/>
          <w:szCs w:val="32"/>
        </w:rPr>
        <w:t>房租超出普通提取标准的，可按实际租金提取；</w:t>
      </w:r>
    </w:p>
    <w:p w14:paraId="5BA06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领取政府租房补贴的，需扣除补贴后计算提取额。</w:t>
      </w:r>
    </w:p>
    <w:p w14:paraId="17C60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楷体_GB2312" w:hAnsi="楷体_GB2312" w:eastAsia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/>
          <w:b/>
          <w:bCs/>
          <w:sz w:val="32"/>
          <w:szCs w:val="32"/>
        </w:rPr>
        <w:t>（三）贷款额度提升</w:t>
      </w:r>
    </w:p>
    <w:p w14:paraId="719CEC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最高贷款额度：</w:t>
      </w:r>
      <w:r>
        <w:rPr>
          <w:rFonts w:hint="eastAsia" w:ascii="仿宋_GB2312" w:hAnsi="仿宋_GB2312" w:eastAsia="仿宋_GB2312"/>
          <w:sz w:val="32"/>
          <w:szCs w:val="32"/>
        </w:rPr>
        <w:t>Ⅰ类人才：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夫妻双方正常缴存和单方正常缴存的最高分别可贷</w:t>
      </w:r>
      <w:r>
        <w:rPr>
          <w:rFonts w:hint="eastAsia" w:ascii="仿宋_GB2312" w:hAnsi="仿宋_GB2312" w:eastAsia="仿宋_GB2312"/>
          <w:sz w:val="32"/>
          <w:szCs w:val="32"/>
        </w:rPr>
        <w:t>1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/>
          <w:sz w:val="32"/>
          <w:szCs w:val="32"/>
        </w:rPr>
        <w:t>0万元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120万元</w:t>
      </w:r>
      <w:r>
        <w:rPr>
          <w:rFonts w:hint="eastAsia" w:ascii="仿宋_GB2312" w:hAnsi="仿宋_GB2312" w:eastAsia="仿宋_GB2312"/>
          <w:sz w:val="32"/>
          <w:szCs w:val="32"/>
        </w:rPr>
        <w:t>；Ⅱ类人才：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夫妻双方正常缴存和单方正常缴存的最高分别可贷</w:t>
      </w:r>
      <w:r>
        <w:rPr>
          <w:rFonts w:hint="eastAsia" w:ascii="仿宋_GB2312" w:hAnsi="仿宋_GB2312" w:eastAsia="仿宋_GB2312"/>
          <w:sz w:val="32"/>
          <w:szCs w:val="32"/>
        </w:rPr>
        <w:t>1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/>
          <w:sz w:val="32"/>
          <w:szCs w:val="32"/>
        </w:rPr>
        <w:t>0万元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90万元</w:t>
      </w:r>
      <w:r>
        <w:rPr>
          <w:rFonts w:hint="eastAsia" w:ascii="仿宋_GB2312" w:hAnsi="仿宋_GB2312" w:eastAsia="仿宋_GB2312"/>
          <w:sz w:val="32"/>
          <w:szCs w:val="32"/>
        </w:rPr>
        <w:t xml:space="preserve">。  </w:t>
      </w:r>
    </w:p>
    <w:p w14:paraId="0FC3C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3" w:firstLineChars="200"/>
        <w:rPr>
          <w:rFonts w:hint="eastAsia" w:ascii="仿宋_GB2312" w:hAnsi="仿宋_GB2312" w:eastAsia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/>
          <w:b/>
          <w:bCs/>
          <w:sz w:val="32"/>
          <w:szCs w:val="32"/>
        </w:rPr>
        <w:t>缴存时限放宽：</w:t>
      </w:r>
      <w:r>
        <w:rPr>
          <w:rFonts w:hint="eastAsia" w:ascii="仿宋_GB2312" w:hAnsi="仿宋_GB2312" w:eastAsia="仿宋_GB2312"/>
          <w:sz w:val="32"/>
          <w:szCs w:val="32"/>
        </w:rPr>
        <w:t>外地转入的缴存记录可合并计算，连续缴存不足6个月也可申请贷款。</w:t>
      </w:r>
    </w:p>
    <w:p w14:paraId="28F0F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 xml:space="preserve">贷款条件：购房须为枣庄行政区内的唯一住房；  </w:t>
      </w:r>
    </w:p>
    <w:p w14:paraId="15565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产权需为申请人单独或夫妻共有（不可叠加双方额度）。</w:t>
      </w:r>
    </w:p>
    <w:sectPr>
      <w:pgSz w:w="11906" w:h="16838"/>
      <w:pgMar w:top="2098" w:right="1474" w:bottom="1984" w:left="1587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0"/>
  <w:characterSpacingControl w:val="compressPunctuation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BA18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9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1"/>
    <w:link w:val="1"/>
    <w:qFormat/>
    <w:uiPriority w:val="0"/>
  </w:style>
  <w:style w:type="table" w:customStyle="1" w:styleId="5">
    <w:name w:val="普通表格1"/>
    <w:semiHidden/>
    <w:uiPriority w:val="0"/>
  </w:style>
  <w:style w:type="paragraph" w:customStyle="1" w:styleId="6">
    <w:name w:val="题注1"/>
    <w:basedOn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customStyle="1" w:styleId="7">
    <w:name w:val="正文文本1"/>
    <w:basedOn w:val="1"/>
    <w:qFormat/>
    <w:uiPriority w:val="0"/>
    <w:pPr>
      <w:spacing w:before="0" w:after="140" w:line="276" w:lineRule="auto"/>
    </w:pPr>
  </w:style>
  <w:style w:type="paragraph" w:customStyle="1" w:styleId="8">
    <w:name w:val="列表1"/>
    <w:basedOn w:val="7"/>
    <w:qFormat/>
    <w:uiPriority w:val="0"/>
  </w:style>
  <w:style w:type="character" w:customStyle="1" w:styleId="9">
    <w:name w:val="默认段落字体1"/>
    <w:link w:val="1"/>
    <w:qFormat/>
    <w:uiPriority w:val="0"/>
  </w:style>
  <w:style w:type="paragraph" w:customStyle="1" w:styleId="10">
    <w:name w:val="Heading"/>
    <w:basedOn w:val="1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/>
      <w:sz w:val="28"/>
      <w:szCs w:val="28"/>
      <w:lang w:bidi="ar-SA"/>
    </w:rPr>
  </w:style>
  <w:style w:type="paragraph" w:customStyle="1" w:styleId="11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647</Words>
  <Characters>666</Characters>
  <Lines>0</Lines>
  <Paragraphs>0</Paragraphs>
  <TotalTime>0</TotalTime>
  <ScaleCrop>false</ScaleCrop>
  <LinksUpToDate>false</LinksUpToDate>
  <CharactersWithSpaces>682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2025-04-01T08:25:12Z</dcterms:created>
  <dc:creator>Administrator</dc:creator>
  <cp:lastModifiedBy>Administrator</cp:lastModifiedBy>
  <dcterms:modified xsi:type="dcterms:W3CDTF">2025-04-01T08:25:54Z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eyJoZGlkIjoiOTMwZjc0NTZkMzRiOTIzMTUyNTg1ZjQ5OWNlYmQ0NzcifQ==</vt:lpwstr>
  </property>
  <property fmtid="{D5CDD505-2E9C-101B-9397-08002B2CF9AE}" pid="3" name="KSOProductBuildVer">
    <vt:lpwstr>2052-12.1.0.20305</vt:lpwstr>
  </property>
  <property fmtid="{D5CDD505-2E9C-101B-9397-08002B2CF9AE}" pid="4" name="ICV">
    <vt:lpwstr>9B1AB08C1A7E4358A3589DFD6C2619B4_12</vt:lpwstr>
  </property>
</Properties>
</file>