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12E011">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left="0" w:firstLine="0"/>
        <w:rPr>
          <w:rFonts w:hint="eastAsia" w:ascii="仿宋_GB2312" w:hAnsi="仿宋_GB2312" w:eastAsia="仿宋_GB2312"/>
          <w:i w:val="0"/>
          <w:color w:val="000000"/>
          <w:spacing w:val="0"/>
          <w:sz w:val="32"/>
          <w:szCs w:val="32"/>
        </w:rPr>
      </w:pPr>
      <w:bookmarkStart w:id="0" w:name="_GoBack"/>
      <w:bookmarkEnd w:id="0"/>
    </w:p>
    <w:p w14:paraId="072DEE3E">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left="0" w:firstLine="0"/>
        <w:jc w:val="center"/>
        <w:rPr>
          <w:rFonts w:hint="eastAsia" w:ascii="方正小标宋简体" w:hAnsi="方正小标宋简体" w:eastAsia="方正小标宋简体"/>
          <w:i w:val="0"/>
          <w:color w:val="000000"/>
          <w:spacing w:val="0"/>
          <w:sz w:val="44"/>
          <w:szCs w:val="44"/>
          <w:lang w:eastAsia="zh-CN"/>
        </w:rPr>
      </w:pPr>
      <w:r>
        <w:rPr>
          <w:rFonts w:hint="eastAsia" w:ascii="方正小标宋简体" w:hAnsi="方正小标宋简体" w:eastAsia="方正小标宋简体"/>
          <w:i w:val="0"/>
          <w:color w:val="000000"/>
          <w:spacing w:val="0"/>
          <w:sz w:val="44"/>
          <w:szCs w:val="44"/>
          <w:lang w:eastAsia="zh-CN"/>
        </w:rPr>
        <w:t>政策解读：</w:t>
      </w:r>
      <w:r>
        <w:rPr>
          <w:rFonts w:hint="eastAsia" w:ascii="方正小标宋简体" w:hAnsi="方正小标宋简体" w:eastAsia="方正小标宋简体"/>
          <w:i w:val="0"/>
          <w:color w:val="000000"/>
          <w:spacing w:val="0"/>
          <w:sz w:val="44"/>
          <w:szCs w:val="44"/>
        </w:rPr>
        <w:t>《</w:t>
      </w:r>
      <w:r>
        <w:rPr>
          <w:rFonts w:hint="eastAsia" w:ascii="方正小标宋简体" w:hAnsi="方正小标宋简体" w:eastAsia="方正小标宋简体"/>
          <w:i w:val="0"/>
          <w:color w:val="000000"/>
          <w:spacing w:val="0"/>
          <w:sz w:val="44"/>
          <w:szCs w:val="44"/>
          <w:lang w:eastAsia="zh-CN"/>
        </w:rPr>
        <w:t>枣庄</w:t>
      </w:r>
      <w:r>
        <w:rPr>
          <w:rFonts w:hint="eastAsia" w:ascii="方正小标宋简体" w:hAnsi="方正小标宋简体" w:eastAsia="方正小标宋简体"/>
          <w:i w:val="0"/>
          <w:color w:val="000000"/>
          <w:spacing w:val="0"/>
          <w:sz w:val="44"/>
          <w:szCs w:val="44"/>
        </w:rPr>
        <w:t>市个人住房商业贷款转住房公积金贷款</w:t>
      </w:r>
      <w:r>
        <w:rPr>
          <w:rFonts w:hint="eastAsia" w:ascii="方正小标宋简体" w:hAnsi="方正小标宋简体" w:eastAsia="方正小标宋简体"/>
          <w:i w:val="0"/>
          <w:color w:val="000000"/>
          <w:spacing w:val="0"/>
          <w:sz w:val="44"/>
          <w:szCs w:val="44"/>
          <w:lang w:eastAsia="zh-CN"/>
        </w:rPr>
        <w:t>实施细则</w:t>
      </w:r>
      <w:r>
        <w:rPr>
          <w:rFonts w:hint="eastAsia" w:ascii="方正小标宋简体" w:hAnsi="方正小标宋简体" w:eastAsia="方正小标宋简体"/>
          <w:i w:val="0"/>
          <w:color w:val="000000"/>
          <w:spacing w:val="0"/>
          <w:sz w:val="44"/>
          <w:szCs w:val="44"/>
        </w:rPr>
        <w:t>》</w:t>
      </w:r>
    </w:p>
    <w:p w14:paraId="338C687E">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left="0" w:firstLine="640" w:firstLineChars="200"/>
        <w:rPr>
          <w:rFonts w:hint="eastAsia" w:ascii="仿宋_GB2312" w:hAnsi="仿宋_GB2312" w:eastAsia="仿宋_GB2312"/>
          <w:i w:val="0"/>
          <w:color w:val="000000"/>
          <w:spacing w:val="0"/>
          <w:sz w:val="32"/>
          <w:szCs w:val="32"/>
        </w:rPr>
      </w:pPr>
    </w:p>
    <w:p w14:paraId="2B69B41F">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lef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w:t>
      </w:r>
      <w:r>
        <w:rPr>
          <w:rFonts w:hint="eastAsia" w:ascii="仿宋_GB2312" w:hAnsi="仿宋_GB2312" w:eastAsia="仿宋_GB2312"/>
          <w:i w:val="0"/>
          <w:color w:val="000000"/>
          <w:spacing w:val="0"/>
          <w:sz w:val="32"/>
          <w:szCs w:val="32"/>
          <w:lang w:eastAsia="zh-CN"/>
        </w:rPr>
        <w:t>枣庄</w:t>
      </w:r>
      <w:r>
        <w:rPr>
          <w:rFonts w:hint="eastAsia" w:ascii="仿宋_GB2312" w:hAnsi="仿宋_GB2312" w:eastAsia="仿宋_GB2312"/>
          <w:i w:val="0"/>
          <w:color w:val="000000"/>
          <w:spacing w:val="0"/>
          <w:sz w:val="32"/>
          <w:szCs w:val="32"/>
        </w:rPr>
        <w:t>市个人住房商业贷款转住房公积金贷款</w:t>
      </w:r>
      <w:r>
        <w:rPr>
          <w:rFonts w:hint="eastAsia" w:ascii="仿宋_GB2312" w:hAnsi="仿宋_GB2312" w:eastAsia="仿宋_GB2312"/>
          <w:i w:val="0"/>
          <w:color w:val="000000"/>
          <w:spacing w:val="0"/>
          <w:sz w:val="32"/>
          <w:szCs w:val="32"/>
          <w:lang w:eastAsia="zh-CN"/>
        </w:rPr>
        <w:t>实施细则</w:t>
      </w:r>
      <w:r>
        <w:rPr>
          <w:rFonts w:hint="eastAsia" w:ascii="仿宋_GB2312" w:hAnsi="仿宋_GB2312" w:eastAsia="仿宋_GB2312"/>
          <w:i w:val="0"/>
          <w:color w:val="000000"/>
          <w:spacing w:val="0"/>
          <w:sz w:val="32"/>
          <w:szCs w:val="32"/>
        </w:rPr>
        <w:t>》的出台，旨在为已办理商业性住房贷款的缴存职工将商业贷款转为住房公积金贷款，从而降低贷款利率，减轻还款压力。以下是对该政策的详细解读：</w:t>
      </w:r>
    </w:p>
    <w:p w14:paraId="0E57DB30">
      <w:pPr>
        <w:pStyle w:val="4"/>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0" w:firstLineChars="200"/>
        <w:rPr>
          <w:rStyle w:val="14"/>
          <w:rFonts w:hint="eastAsia" w:ascii="黑体" w:hAnsi="黑体" w:eastAsia="黑体"/>
          <w:b w:val="0"/>
          <w:bCs/>
          <w:i w:val="0"/>
          <w:color w:val="000000"/>
          <w:spacing w:val="0"/>
          <w:sz w:val="32"/>
          <w:szCs w:val="32"/>
        </w:rPr>
      </w:pPr>
      <w:r>
        <w:rPr>
          <w:rStyle w:val="14"/>
          <w:rFonts w:hint="eastAsia" w:ascii="黑体" w:hAnsi="黑体" w:eastAsia="黑体"/>
          <w:b w:val="0"/>
          <w:bCs/>
          <w:i w:val="0"/>
          <w:color w:val="000000"/>
          <w:spacing w:val="0"/>
          <w:sz w:val="32"/>
          <w:szCs w:val="32"/>
        </w:rPr>
        <w:t>一、政策背景与目的</w:t>
      </w:r>
    </w:p>
    <w:p w14:paraId="17EDA1A9">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left="720" w:right="0"/>
        <w:rPr>
          <w:rStyle w:val="14"/>
          <w:rFonts w:hint="eastAsia" w:ascii="楷体_GB2312" w:hAnsi="楷体_GB2312" w:eastAsia="楷体_GB2312"/>
          <w:b/>
          <w:bCs w:val="0"/>
          <w:i w:val="0"/>
          <w:color w:val="000000"/>
          <w:spacing w:val="0"/>
          <w:sz w:val="32"/>
          <w:szCs w:val="32"/>
          <w:lang w:eastAsia="zh-CN"/>
        </w:rPr>
      </w:pPr>
      <w:r>
        <w:rPr>
          <w:rStyle w:val="14"/>
          <w:rFonts w:hint="eastAsia" w:ascii="楷体_GB2312" w:hAnsi="楷体_GB2312" w:eastAsia="楷体_GB2312"/>
          <w:b/>
          <w:bCs w:val="0"/>
          <w:i w:val="0"/>
          <w:color w:val="000000"/>
          <w:spacing w:val="0"/>
          <w:sz w:val="32"/>
          <w:szCs w:val="32"/>
          <w:lang w:eastAsia="zh-CN"/>
        </w:rPr>
        <w:t>（一）</w:t>
      </w:r>
      <w:r>
        <w:rPr>
          <w:rStyle w:val="14"/>
          <w:rFonts w:hint="eastAsia" w:ascii="楷体_GB2312" w:hAnsi="楷体_GB2312" w:eastAsia="楷体_GB2312"/>
          <w:b/>
          <w:bCs w:val="0"/>
          <w:i w:val="0"/>
          <w:color w:val="000000"/>
          <w:spacing w:val="0"/>
          <w:sz w:val="32"/>
          <w:szCs w:val="32"/>
        </w:rPr>
        <w:t>背景</w:t>
      </w:r>
    </w:p>
    <w:p w14:paraId="7186C37F">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Fonts w:hint="eastAsia" w:ascii="仿宋_GB2312" w:hAnsi="仿宋_GB2312" w:eastAsia="仿宋_GB2312"/>
          <w:b/>
          <w:bCs/>
          <w:i w:val="0"/>
          <w:color w:val="000000"/>
          <w:spacing w:val="0"/>
          <w:sz w:val="32"/>
          <w:szCs w:val="32"/>
          <w:lang w:val="en-US" w:eastAsia="zh-CN"/>
        </w:rPr>
      </w:pPr>
      <w:r>
        <w:rPr>
          <w:rFonts w:hint="eastAsia" w:ascii="仿宋_GB2312" w:hAnsi="仿宋_GB2312" w:eastAsia="仿宋_GB2312"/>
          <w:b/>
          <w:bCs/>
          <w:i w:val="0"/>
          <w:color w:val="000000"/>
          <w:spacing w:val="0"/>
          <w:sz w:val="32"/>
          <w:szCs w:val="32"/>
          <w:lang w:val="en-US" w:eastAsia="zh-CN"/>
        </w:rPr>
        <w:t>1.</w:t>
      </w:r>
      <w:r>
        <w:rPr>
          <w:rFonts w:hint="eastAsia" w:ascii="仿宋_GB2312" w:hAnsi="仿宋_GB2312" w:eastAsia="仿宋_GB2312"/>
          <w:i w:val="0"/>
          <w:color w:val="000000"/>
          <w:spacing w:val="0"/>
          <w:sz w:val="32"/>
          <w:szCs w:val="32"/>
        </w:rPr>
        <w:t>许多购房者在购房时因各种原因（如公积金缴存时间不足、额度不够等）选择了商业贷款，但商业贷款利率通常高于公积金贷款，导致还款压力较大。</w:t>
      </w:r>
    </w:p>
    <w:p w14:paraId="604562EB">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Fonts w:hint="eastAsia" w:ascii="仿宋_GB2312" w:hAnsi="仿宋_GB2312" w:eastAsia="仿宋_GB2312"/>
          <w:b/>
          <w:bCs/>
          <w:i w:val="0"/>
          <w:color w:val="000000"/>
          <w:spacing w:val="0"/>
          <w:sz w:val="32"/>
          <w:szCs w:val="32"/>
          <w:lang w:val="en-US" w:eastAsia="zh-CN"/>
        </w:rPr>
      </w:pPr>
      <w:r>
        <w:rPr>
          <w:rFonts w:hint="eastAsia" w:ascii="仿宋_GB2312" w:hAnsi="仿宋_GB2312" w:eastAsia="仿宋_GB2312"/>
          <w:b/>
          <w:bCs/>
          <w:i w:val="0"/>
          <w:color w:val="000000"/>
          <w:spacing w:val="0"/>
          <w:sz w:val="32"/>
          <w:szCs w:val="32"/>
          <w:lang w:val="en-US" w:eastAsia="zh-CN"/>
        </w:rPr>
        <w:t>2.</w:t>
      </w:r>
      <w:r>
        <w:rPr>
          <w:rFonts w:hint="eastAsia" w:ascii="仿宋_GB2312" w:hAnsi="仿宋_GB2312" w:eastAsia="仿宋_GB2312"/>
          <w:i w:val="0"/>
          <w:color w:val="000000"/>
          <w:spacing w:val="0"/>
          <w:sz w:val="32"/>
          <w:szCs w:val="32"/>
        </w:rPr>
        <w:t>为优化住房贷款结构，减轻职工还款负担，</w:t>
      </w:r>
      <w:r>
        <w:rPr>
          <w:rFonts w:hint="eastAsia" w:ascii="仿宋_GB2312" w:hAnsi="仿宋_GB2312" w:eastAsia="仿宋_GB2312"/>
          <w:i w:val="0"/>
          <w:color w:val="000000"/>
          <w:spacing w:val="0"/>
          <w:sz w:val="32"/>
          <w:szCs w:val="32"/>
          <w:lang w:eastAsia="zh-CN"/>
        </w:rPr>
        <w:t>我</w:t>
      </w:r>
      <w:r>
        <w:rPr>
          <w:rFonts w:hint="eastAsia" w:ascii="仿宋_GB2312" w:hAnsi="仿宋_GB2312" w:eastAsia="仿宋_GB2312"/>
          <w:i w:val="0"/>
          <w:color w:val="000000"/>
          <w:spacing w:val="0"/>
          <w:sz w:val="32"/>
          <w:szCs w:val="32"/>
        </w:rPr>
        <w:t>市</w:t>
      </w:r>
      <w:r>
        <w:rPr>
          <w:rFonts w:hint="eastAsia" w:ascii="仿宋_GB2312" w:hAnsi="仿宋_GB2312" w:eastAsia="仿宋_GB2312"/>
          <w:i w:val="0"/>
          <w:color w:val="000000"/>
          <w:spacing w:val="0"/>
          <w:sz w:val="32"/>
          <w:szCs w:val="32"/>
          <w:lang w:eastAsia="zh-CN"/>
        </w:rPr>
        <w:t>优化调整</w:t>
      </w:r>
      <w:r>
        <w:rPr>
          <w:rFonts w:hint="eastAsia" w:ascii="仿宋_GB2312" w:hAnsi="仿宋_GB2312" w:eastAsia="仿宋_GB2312"/>
          <w:i w:val="0"/>
          <w:color w:val="000000"/>
          <w:spacing w:val="0"/>
          <w:sz w:val="32"/>
          <w:szCs w:val="32"/>
        </w:rPr>
        <w:t>了“商转公</w:t>
      </w:r>
      <w:r>
        <w:rPr>
          <w:rFonts w:hint="eastAsia" w:ascii="仿宋_GB2312" w:hAnsi="仿宋_GB2312" w:eastAsia="仿宋_GB2312"/>
          <w:i w:val="0"/>
          <w:color w:val="000000"/>
          <w:spacing w:val="0"/>
          <w:sz w:val="32"/>
          <w:szCs w:val="32"/>
          <w:lang w:eastAsia="zh-CN"/>
        </w:rPr>
        <w:t>贷款</w:t>
      </w:r>
      <w:r>
        <w:rPr>
          <w:rFonts w:hint="eastAsia" w:ascii="仿宋_GB2312" w:hAnsi="仿宋_GB2312" w:eastAsia="仿宋_GB2312"/>
          <w:i w:val="0"/>
          <w:color w:val="000000"/>
          <w:spacing w:val="0"/>
          <w:sz w:val="32"/>
          <w:szCs w:val="32"/>
        </w:rPr>
        <w:t>”政策，允许符合条件的职工将商业贷款转为公积金贷款。</w:t>
      </w:r>
    </w:p>
    <w:p w14:paraId="4454BA18">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left="720" w:right="0"/>
        <w:rPr>
          <w:rStyle w:val="14"/>
          <w:rFonts w:hint="eastAsia" w:ascii="楷体_GB2312" w:hAnsi="楷体_GB2312" w:eastAsia="楷体_GB2312"/>
          <w:i w:val="0"/>
          <w:color w:val="000000"/>
          <w:spacing w:val="0"/>
          <w:sz w:val="32"/>
          <w:szCs w:val="32"/>
          <w:lang w:eastAsia="zh-CN"/>
        </w:rPr>
      </w:pPr>
      <w:r>
        <w:rPr>
          <w:rStyle w:val="14"/>
          <w:rFonts w:hint="eastAsia" w:ascii="楷体_GB2312" w:hAnsi="楷体_GB2312" w:eastAsia="楷体_GB2312"/>
          <w:i w:val="0"/>
          <w:color w:val="000000"/>
          <w:spacing w:val="0"/>
          <w:sz w:val="32"/>
          <w:szCs w:val="32"/>
          <w:lang w:eastAsia="zh-CN"/>
        </w:rPr>
        <w:t>（二）</w:t>
      </w:r>
      <w:r>
        <w:rPr>
          <w:rStyle w:val="14"/>
          <w:rFonts w:hint="eastAsia" w:ascii="楷体_GB2312" w:hAnsi="楷体_GB2312" w:eastAsia="楷体_GB2312"/>
          <w:i w:val="0"/>
          <w:color w:val="000000"/>
          <w:spacing w:val="0"/>
          <w:sz w:val="32"/>
          <w:szCs w:val="32"/>
        </w:rPr>
        <w:t>目的</w:t>
      </w:r>
    </w:p>
    <w:p w14:paraId="1F4A8A58">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1.</w:t>
      </w:r>
      <w:r>
        <w:rPr>
          <w:rStyle w:val="14"/>
          <w:rFonts w:hint="eastAsia" w:ascii="仿宋_GB2312" w:hAnsi="仿宋_GB2312" w:eastAsia="仿宋_GB2312"/>
          <w:i w:val="0"/>
          <w:color w:val="000000"/>
          <w:spacing w:val="0"/>
          <w:sz w:val="32"/>
          <w:szCs w:val="32"/>
        </w:rPr>
        <w:t>降低利率</w:t>
      </w:r>
      <w:r>
        <w:rPr>
          <w:rFonts w:hint="eastAsia" w:ascii="仿宋_GB2312" w:hAnsi="仿宋_GB2312" w:eastAsia="仿宋_GB2312"/>
          <w:i w:val="0"/>
          <w:color w:val="000000"/>
          <w:spacing w:val="0"/>
          <w:sz w:val="32"/>
          <w:szCs w:val="32"/>
        </w:rPr>
        <w:t>：公积金贷款利率低于商业贷款，转为公积金贷款后可显著减少利息支出。</w:t>
      </w:r>
    </w:p>
    <w:p w14:paraId="7BE8DBBD">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2.</w:t>
      </w:r>
      <w:r>
        <w:rPr>
          <w:rStyle w:val="14"/>
          <w:rFonts w:hint="eastAsia" w:ascii="仿宋_GB2312" w:hAnsi="仿宋_GB2312" w:eastAsia="仿宋_GB2312"/>
          <w:i w:val="0"/>
          <w:color w:val="000000"/>
          <w:spacing w:val="0"/>
          <w:sz w:val="32"/>
          <w:szCs w:val="32"/>
        </w:rPr>
        <w:t>减轻负担</w:t>
      </w:r>
      <w:r>
        <w:rPr>
          <w:rFonts w:hint="eastAsia" w:ascii="仿宋_GB2312" w:hAnsi="仿宋_GB2312" w:eastAsia="仿宋_GB2312"/>
          <w:i w:val="0"/>
          <w:color w:val="000000"/>
          <w:spacing w:val="0"/>
          <w:sz w:val="32"/>
          <w:szCs w:val="32"/>
        </w:rPr>
        <w:t>：通过降低月供或缩短贷款期限，缓解职工的经济压力。</w:t>
      </w:r>
    </w:p>
    <w:p w14:paraId="6E67C3CC">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3.</w:t>
      </w:r>
      <w:r>
        <w:rPr>
          <w:rStyle w:val="14"/>
          <w:rFonts w:hint="eastAsia" w:ascii="仿宋_GB2312" w:hAnsi="仿宋_GB2312" w:eastAsia="仿宋_GB2312"/>
          <w:i w:val="0"/>
          <w:color w:val="000000"/>
          <w:spacing w:val="0"/>
          <w:sz w:val="32"/>
          <w:szCs w:val="32"/>
        </w:rPr>
        <w:t>规范管理</w:t>
      </w:r>
      <w:r>
        <w:rPr>
          <w:rFonts w:hint="eastAsia" w:ascii="仿宋_GB2312" w:hAnsi="仿宋_GB2312" w:eastAsia="仿宋_GB2312"/>
          <w:i w:val="0"/>
          <w:color w:val="000000"/>
          <w:spacing w:val="0"/>
          <w:sz w:val="32"/>
          <w:szCs w:val="32"/>
        </w:rPr>
        <w:t>：明确“商转公”业务的办理条件、流程和额度计算方式，确保政策公平、透明。</w:t>
      </w:r>
    </w:p>
    <w:p w14:paraId="092E092F">
      <w:pPr>
        <w:pStyle w:val="4"/>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0" w:firstLineChars="200"/>
        <w:rPr>
          <w:rStyle w:val="14"/>
          <w:rFonts w:hint="eastAsia" w:ascii="黑体" w:hAnsi="黑体" w:eastAsia="黑体"/>
          <w:b w:val="0"/>
          <w:bCs/>
          <w:i w:val="0"/>
          <w:color w:val="000000"/>
          <w:spacing w:val="0"/>
          <w:sz w:val="32"/>
          <w:szCs w:val="32"/>
        </w:rPr>
      </w:pPr>
      <w:r>
        <w:rPr>
          <w:rStyle w:val="14"/>
          <w:rFonts w:hint="eastAsia" w:ascii="黑体" w:hAnsi="黑体" w:eastAsia="黑体"/>
          <w:b w:val="0"/>
          <w:bCs/>
          <w:i w:val="0"/>
          <w:color w:val="000000"/>
          <w:spacing w:val="0"/>
          <w:sz w:val="32"/>
          <w:szCs w:val="32"/>
        </w:rPr>
        <w:t>二、政策核心内容解读</w:t>
      </w:r>
    </w:p>
    <w:p w14:paraId="1643EF57">
      <w:pPr>
        <w:pStyle w:val="5"/>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0" w:firstLineChars="200"/>
        <w:rPr>
          <w:rStyle w:val="14"/>
          <w:rFonts w:hint="eastAsia" w:ascii="楷体_GB2312" w:hAnsi="楷体_GB2312" w:eastAsia="楷体_GB2312"/>
          <w:b w:val="0"/>
          <w:i w:val="0"/>
          <w:color w:val="000000"/>
          <w:spacing w:val="0"/>
          <w:sz w:val="32"/>
          <w:szCs w:val="32"/>
          <w:lang w:eastAsia="zh-CN"/>
        </w:rPr>
      </w:pPr>
      <w:r>
        <w:rPr>
          <w:rStyle w:val="14"/>
          <w:rFonts w:hint="eastAsia" w:ascii="楷体_GB2312" w:hAnsi="楷体_GB2312" w:eastAsia="楷体_GB2312"/>
          <w:b w:val="0"/>
          <w:i w:val="0"/>
          <w:color w:val="000000"/>
          <w:spacing w:val="0"/>
          <w:sz w:val="32"/>
          <w:szCs w:val="32"/>
          <w:lang w:eastAsia="zh-CN"/>
        </w:rPr>
        <w:t>（一）</w:t>
      </w:r>
      <w:r>
        <w:rPr>
          <w:rStyle w:val="14"/>
          <w:rFonts w:hint="eastAsia" w:ascii="楷体_GB2312" w:hAnsi="楷体_GB2312" w:eastAsia="楷体_GB2312"/>
          <w:b w:val="0"/>
          <w:i w:val="0"/>
          <w:color w:val="000000"/>
          <w:spacing w:val="0"/>
          <w:sz w:val="32"/>
          <w:szCs w:val="32"/>
        </w:rPr>
        <w:t>贷款对象与条件</w:t>
      </w:r>
    </w:p>
    <w:p w14:paraId="61D9EE57">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1.</w:t>
      </w:r>
      <w:r>
        <w:rPr>
          <w:rStyle w:val="14"/>
          <w:rFonts w:hint="eastAsia" w:ascii="仿宋_GB2312" w:hAnsi="仿宋_GB2312" w:eastAsia="仿宋_GB2312"/>
          <w:i w:val="0"/>
          <w:color w:val="000000"/>
          <w:spacing w:val="0"/>
          <w:sz w:val="32"/>
          <w:szCs w:val="32"/>
        </w:rPr>
        <w:t>对象</w:t>
      </w:r>
      <w:r>
        <w:rPr>
          <w:rFonts w:hint="eastAsia" w:ascii="仿宋_GB2312" w:hAnsi="仿宋_GB2312" w:eastAsia="仿宋_GB2312"/>
          <w:i w:val="0"/>
          <w:color w:val="000000"/>
          <w:spacing w:val="0"/>
          <w:sz w:val="32"/>
          <w:szCs w:val="32"/>
        </w:rPr>
        <w:t>：</w:t>
      </w:r>
      <w:r>
        <w:rPr>
          <w:rFonts w:hint="eastAsia" w:ascii="仿宋_GB2312" w:hAnsi="仿宋_GB2312" w:eastAsia="仿宋_GB2312"/>
          <w:i w:val="0"/>
          <w:color w:val="000000"/>
          <w:spacing w:val="0"/>
          <w:sz w:val="32"/>
          <w:szCs w:val="32"/>
          <w:lang w:eastAsia="zh-CN"/>
        </w:rPr>
        <w:t>已正常建立住房公积金账户，且</w:t>
      </w:r>
      <w:r>
        <w:rPr>
          <w:rFonts w:hint="eastAsia" w:ascii="仿宋_GB2312" w:hAnsi="仿宋_GB2312" w:eastAsia="仿宋_GB2312"/>
          <w:i w:val="0"/>
          <w:color w:val="000000"/>
          <w:spacing w:val="0"/>
          <w:sz w:val="32"/>
          <w:szCs w:val="32"/>
        </w:rPr>
        <w:t>连续足额缴存住房公积金6个月以上的职工。</w:t>
      </w:r>
    </w:p>
    <w:p w14:paraId="11145E3E">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购买首套或第二套自住住房并已办理商业贷款的职工。</w:t>
      </w:r>
    </w:p>
    <w:p w14:paraId="46C6C483">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2.</w:t>
      </w:r>
      <w:r>
        <w:rPr>
          <w:rStyle w:val="14"/>
          <w:rFonts w:hint="eastAsia" w:ascii="仿宋_GB2312" w:hAnsi="仿宋_GB2312" w:eastAsia="仿宋_GB2312"/>
          <w:i w:val="0"/>
          <w:color w:val="000000"/>
          <w:spacing w:val="0"/>
          <w:sz w:val="32"/>
          <w:szCs w:val="32"/>
        </w:rPr>
        <w:t>条件</w:t>
      </w:r>
      <w:r>
        <w:rPr>
          <w:rFonts w:hint="eastAsia" w:ascii="仿宋_GB2312" w:hAnsi="仿宋_GB2312" w:eastAsia="仿宋_GB2312"/>
          <w:i w:val="0"/>
          <w:color w:val="000000"/>
          <w:spacing w:val="0"/>
          <w:sz w:val="32"/>
          <w:szCs w:val="32"/>
        </w:rPr>
        <w:t>：原商业贷款的借款人及共同借款人需为购房合同签订人或其配偶。</w:t>
      </w:r>
    </w:p>
    <w:p w14:paraId="34561C01">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除申请“商转公”的贷款外，不得有其他住房贷款。</w:t>
      </w:r>
    </w:p>
    <w:p w14:paraId="7A1A4F13">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原商业贷款已偿还3年以上，且近2年无逾期记录。</w:t>
      </w:r>
    </w:p>
    <w:p w14:paraId="58EC70E4">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房屋需位于</w:t>
      </w:r>
      <w:r>
        <w:rPr>
          <w:rFonts w:hint="eastAsia" w:ascii="仿宋_GB2312" w:hAnsi="仿宋_GB2312" w:eastAsia="仿宋_GB2312"/>
          <w:i w:val="0"/>
          <w:color w:val="000000"/>
          <w:spacing w:val="0"/>
          <w:sz w:val="32"/>
          <w:szCs w:val="32"/>
          <w:lang w:eastAsia="zh-CN"/>
        </w:rPr>
        <w:t>枣庄</w:t>
      </w:r>
      <w:r>
        <w:rPr>
          <w:rFonts w:hint="eastAsia" w:ascii="仿宋_GB2312" w:hAnsi="仿宋_GB2312" w:eastAsia="仿宋_GB2312"/>
          <w:i w:val="0"/>
          <w:color w:val="000000"/>
          <w:spacing w:val="0"/>
          <w:sz w:val="32"/>
          <w:szCs w:val="32"/>
        </w:rPr>
        <w:t>市行政区域内，并已取得《房屋所有权证》或《不动产权证书》。</w:t>
      </w:r>
    </w:p>
    <w:p w14:paraId="6C987756">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rPr>
      </w:pPr>
      <w:r>
        <w:rPr>
          <w:rStyle w:val="14"/>
          <w:rFonts w:hint="eastAsia" w:ascii="仿宋_GB2312" w:hAnsi="仿宋_GB2312" w:eastAsia="仿宋_GB2312"/>
          <w:i w:val="0"/>
          <w:color w:val="000000"/>
          <w:spacing w:val="0"/>
          <w:sz w:val="32"/>
          <w:szCs w:val="32"/>
        </w:rPr>
        <w:t>解读</w:t>
      </w:r>
      <w:r>
        <w:rPr>
          <w:rFonts w:hint="eastAsia" w:ascii="仿宋_GB2312" w:hAnsi="仿宋_GB2312" w:eastAsia="仿宋_GB2312"/>
          <w:i w:val="0"/>
          <w:color w:val="000000"/>
          <w:spacing w:val="0"/>
          <w:sz w:val="32"/>
          <w:szCs w:val="32"/>
        </w:rPr>
        <w:t>：</w:t>
      </w:r>
    </w:p>
    <w:p w14:paraId="2C5F8071">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政策主要面向已稳定缴存公积金的职工，且要求贷款记录良好，确保贷款风险可控。</w:t>
      </w:r>
    </w:p>
    <w:p w14:paraId="3F15B9BC">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房屋需为自住性质，且产权清晰，避免投机性购房行为。</w:t>
      </w:r>
    </w:p>
    <w:p w14:paraId="57D2CFA2">
      <w:pPr>
        <w:pStyle w:val="5"/>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0" w:firstLineChars="200"/>
        <w:rPr>
          <w:rStyle w:val="14"/>
          <w:rFonts w:hint="eastAsia" w:ascii="楷体_GB2312" w:hAnsi="楷体_GB2312" w:eastAsia="楷体_GB2312"/>
          <w:b w:val="0"/>
          <w:i w:val="0"/>
          <w:color w:val="000000"/>
          <w:spacing w:val="0"/>
          <w:sz w:val="32"/>
          <w:szCs w:val="32"/>
          <w:lang w:eastAsia="zh-CN"/>
        </w:rPr>
      </w:pPr>
      <w:r>
        <w:rPr>
          <w:rStyle w:val="14"/>
          <w:rFonts w:hint="eastAsia" w:ascii="楷体_GB2312" w:hAnsi="楷体_GB2312" w:eastAsia="楷体_GB2312"/>
          <w:b w:val="0"/>
          <w:i w:val="0"/>
          <w:color w:val="000000"/>
          <w:spacing w:val="0"/>
          <w:sz w:val="32"/>
          <w:szCs w:val="32"/>
          <w:lang w:eastAsia="zh-CN"/>
        </w:rPr>
        <w:t>（二）</w:t>
      </w:r>
      <w:r>
        <w:rPr>
          <w:rStyle w:val="14"/>
          <w:rFonts w:hint="eastAsia" w:ascii="楷体_GB2312" w:hAnsi="楷体_GB2312" w:eastAsia="楷体_GB2312"/>
          <w:b w:val="0"/>
          <w:i w:val="0"/>
          <w:color w:val="000000"/>
          <w:spacing w:val="0"/>
          <w:sz w:val="32"/>
          <w:szCs w:val="32"/>
        </w:rPr>
        <w:t>贷款额度与利率</w:t>
      </w:r>
    </w:p>
    <w:p w14:paraId="7B5A7827">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1.</w:t>
      </w:r>
      <w:r>
        <w:rPr>
          <w:rStyle w:val="14"/>
          <w:rFonts w:hint="eastAsia" w:ascii="仿宋_GB2312" w:hAnsi="仿宋_GB2312" w:eastAsia="仿宋_GB2312"/>
          <w:i w:val="0"/>
          <w:color w:val="000000"/>
          <w:spacing w:val="0"/>
          <w:sz w:val="32"/>
          <w:szCs w:val="32"/>
        </w:rPr>
        <w:t>额度计算</w:t>
      </w:r>
      <w:r>
        <w:rPr>
          <w:rFonts w:hint="eastAsia" w:ascii="仿宋_GB2312" w:hAnsi="仿宋_GB2312" w:eastAsia="仿宋_GB2312"/>
          <w:i w:val="0"/>
          <w:color w:val="000000"/>
          <w:spacing w:val="0"/>
          <w:sz w:val="32"/>
          <w:szCs w:val="32"/>
        </w:rPr>
        <w:t>：取以下两者的最低值：</w:t>
      </w:r>
    </w:p>
    <w:p w14:paraId="3B50084C">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按公积金贷款额度计算公式算得的可贷额度。</w:t>
      </w:r>
    </w:p>
    <w:p w14:paraId="5995C75B">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原商业贷款剩余本金金额。</w:t>
      </w:r>
    </w:p>
    <w:p w14:paraId="59DF8C36">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最终额度还需减去2个月的原商业贷款月还款额，并取千元整数倍。</w:t>
      </w:r>
    </w:p>
    <w:p w14:paraId="5283337C">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2.</w:t>
      </w:r>
      <w:r>
        <w:rPr>
          <w:rStyle w:val="14"/>
          <w:rFonts w:hint="eastAsia" w:ascii="仿宋_GB2312" w:hAnsi="仿宋_GB2312" w:eastAsia="仿宋_GB2312"/>
          <w:i w:val="0"/>
          <w:color w:val="000000"/>
          <w:spacing w:val="0"/>
          <w:sz w:val="32"/>
          <w:szCs w:val="32"/>
        </w:rPr>
        <w:t>利率</w:t>
      </w:r>
      <w:r>
        <w:rPr>
          <w:rFonts w:hint="eastAsia" w:ascii="仿宋_GB2312" w:hAnsi="仿宋_GB2312" w:eastAsia="仿宋_GB2312"/>
          <w:i w:val="0"/>
          <w:color w:val="000000"/>
          <w:spacing w:val="0"/>
          <w:sz w:val="32"/>
          <w:szCs w:val="32"/>
        </w:rPr>
        <w:t>：按当期住房公积金贷款利率执行，通常显著低于商业贷款利率。</w:t>
      </w:r>
    </w:p>
    <w:p w14:paraId="3F54F4FF">
      <w:pPr>
        <w:pStyle w:val="13"/>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3" w:firstLineChars="200"/>
        <w:rPr>
          <w:rStyle w:val="14"/>
          <w:rFonts w:hint="eastAsia" w:ascii="仿宋_GB2312" w:hAnsi="仿宋_GB2312" w:eastAsia="仿宋_GB2312"/>
          <w:i w:val="0"/>
          <w:color w:val="000000"/>
          <w:spacing w:val="0"/>
          <w:sz w:val="32"/>
          <w:szCs w:val="32"/>
        </w:rPr>
      </w:pPr>
      <w:r>
        <w:rPr>
          <w:rStyle w:val="14"/>
          <w:rFonts w:hint="eastAsia" w:ascii="仿宋_GB2312" w:hAnsi="仿宋_GB2312" w:eastAsia="仿宋_GB2312"/>
          <w:i w:val="0"/>
          <w:color w:val="000000"/>
          <w:spacing w:val="0"/>
          <w:sz w:val="32"/>
          <w:szCs w:val="32"/>
        </w:rPr>
        <w:t>解读</w:t>
      </w:r>
      <w:r>
        <w:rPr>
          <w:rFonts w:hint="eastAsia" w:ascii="仿宋_GB2312" w:hAnsi="仿宋_GB2312" w:eastAsia="仿宋_GB2312"/>
          <w:i w:val="0"/>
          <w:color w:val="000000"/>
          <w:spacing w:val="0"/>
          <w:sz w:val="32"/>
          <w:szCs w:val="32"/>
        </w:rPr>
        <w:t>：贷款额度受公积金缴存情况、房屋评估价、家庭债务等多重因素影响，确保贷款额度合理。</w:t>
      </w:r>
    </w:p>
    <w:p w14:paraId="70573F12">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利率优势是“商转公”的核心吸引力，可为职工节省大量利息支出。</w:t>
      </w:r>
    </w:p>
    <w:p w14:paraId="19A3A6A0">
      <w:pPr>
        <w:pStyle w:val="5"/>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0" w:firstLineChars="200"/>
        <w:rPr>
          <w:rStyle w:val="14"/>
          <w:rFonts w:hint="eastAsia" w:ascii="楷体_GB2312" w:hAnsi="楷体_GB2312" w:eastAsia="楷体_GB2312"/>
          <w:b w:val="0"/>
          <w:i w:val="0"/>
          <w:color w:val="000000"/>
          <w:spacing w:val="0"/>
          <w:sz w:val="32"/>
          <w:szCs w:val="32"/>
          <w:lang w:eastAsia="zh-CN"/>
        </w:rPr>
      </w:pPr>
      <w:r>
        <w:rPr>
          <w:rStyle w:val="14"/>
          <w:rFonts w:hint="eastAsia" w:ascii="楷体_GB2312" w:hAnsi="楷体_GB2312" w:eastAsia="楷体_GB2312"/>
          <w:b w:val="0"/>
          <w:i w:val="0"/>
          <w:color w:val="000000"/>
          <w:spacing w:val="0"/>
          <w:sz w:val="32"/>
          <w:szCs w:val="32"/>
          <w:lang w:eastAsia="zh-CN"/>
        </w:rPr>
        <w:t>（三）</w:t>
      </w:r>
      <w:r>
        <w:rPr>
          <w:rStyle w:val="14"/>
          <w:rFonts w:hint="eastAsia" w:ascii="楷体_GB2312" w:hAnsi="楷体_GB2312" w:eastAsia="楷体_GB2312"/>
          <w:b w:val="0"/>
          <w:i w:val="0"/>
          <w:color w:val="000000"/>
          <w:spacing w:val="0"/>
          <w:sz w:val="32"/>
          <w:szCs w:val="32"/>
        </w:rPr>
        <w:t>办理方式</w:t>
      </w:r>
    </w:p>
    <w:p w14:paraId="455CE445">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1.</w:t>
      </w:r>
      <w:r>
        <w:rPr>
          <w:rStyle w:val="14"/>
          <w:rFonts w:hint="eastAsia" w:ascii="仿宋_GB2312" w:hAnsi="仿宋_GB2312" w:eastAsia="仿宋_GB2312"/>
          <w:i w:val="0"/>
          <w:color w:val="000000"/>
          <w:spacing w:val="0"/>
          <w:sz w:val="32"/>
          <w:szCs w:val="32"/>
        </w:rPr>
        <w:t>顺位抵押（直转）</w:t>
      </w:r>
      <w:r>
        <w:rPr>
          <w:rFonts w:hint="eastAsia" w:ascii="仿宋_GB2312" w:hAnsi="仿宋_GB2312" w:eastAsia="仿宋_GB2312"/>
          <w:i w:val="0"/>
          <w:color w:val="000000"/>
          <w:spacing w:val="0"/>
          <w:sz w:val="32"/>
          <w:szCs w:val="32"/>
        </w:rPr>
        <w:t>：适用于原商业贷款银行与公积金中心合作的银行。</w:t>
      </w:r>
    </w:p>
    <w:p w14:paraId="4BF2A6DA">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公积金中心作为第二顺位抵押权人，直接发放贷款用于偿还商业贷款。</w:t>
      </w:r>
    </w:p>
    <w:p w14:paraId="3DB3F848">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可转为纯公积金贷款或公积金组合贷款。</w:t>
      </w:r>
    </w:p>
    <w:p w14:paraId="21EC69B0">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2.</w:t>
      </w:r>
      <w:r>
        <w:rPr>
          <w:rStyle w:val="14"/>
          <w:rFonts w:hint="eastAsia" w:ascii="仿宋_GB2312" w:hAnsi="仿宋_GB2312" w:eastAsia="仿宋_GB2312"/>
          <w:i w:val="0"/>
          <w:color w:val="000000"/>
          <w:spacing w:val="0"/>
          <w:sz w:val="32"/>
          <w:szCs w:val="32"/>
        </w:rPr>
        <w:t>先还后贷</w:t>
      </w:r>
      <w:r>
        <w:rPr>
          <w:rFonts w:hint="eastAsia" w:ascii="仿宋_GB2312" w:hAnsi="仿宋_GB2312" w:eastAsia="仿宋_GB2312"/>
          <w:i w:val="0"/>
          <w:color w:val="000000"/>
          <w:spacing w:val="0"/>
          <w:sz w:val="32"/>
          <w:szCs w:val="32"/>
        </w:rPr>
        <w:t>：适用于原商业贷款银行未与公积金中心合作的银行。</w:t>
      </w:r>
    </w:p>
    <w:p w14:paraId="7552263C">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需先自筹资金结清商业贷款，解除抵押后，再申请公积金贷款。</w:t>
      </w:r>
    </w:p>
    <w:p w14:paraId="364047D5">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只能转为纯公积金贷款。</w:t>
      </w:r>
    </w:p>
    <w:p w14:paraId="6B710FC8">
      <w:pPr>
        <w:pStyle w:val="13"/>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3" w:firstLineChars="200"/>
        <w:rPr>
          <w:rStyle w:val="14"/>
          <w:rFonts w:hint="eastAsia" w:ascii="仿宋_GB2312" w:hAnsi="仿宋_GB2312" w:eastAsia="仿宋_GB2312"/>
          <w:i w:val="0"/>
          <w:color w:val="000000"/>
          <w:spacing w:val="0"/>
          <w:sz w:val="32"/>
          <w:szCs w:val="32"/>
        </w:rPr>
      </w:pPr>
      <w:r>
        <w:rPr>
          <w:rStyle w:val="14"/>
          <w:rFonts w:hint="eastAsia" w:ascii="仿宋_GB2312" w:hAnsi="仿宋_GB2312" w:eastAsia="仿宋_GB2312"/>
          <w:i w:val="0"/>
          <w:color w:val="000000"/>
          <w:spacing w:val="0"/>
          <w:sz w:val="32"/>
          <w:szCs w:val="32"/>
        </w:rPr>
        <w:t>解读</w:t>
      </w:r>
      <w:r>
        <w:rPr>
          <w:rFonts w:hint="eastAsia" w:ascii="仿宋_GB2312" w:hAnsi="仿宋_GB2312" w:eastAsia="仿宋_GB2312"/>
          <w:i w:val="0"/>
          <w:color w:val="000000"/>
          <w:spacing w:val="0"/>
          <w:sz w:val="32"/>
          <w:szCs w:val="32"/>
        </w:rPr>
        <w:t>：“顺位抵押”方式更为便捷，减少了职工自筹资金的压力，但仅限于合作银行。</w:t>
      </w:r>
    </w:p>
    <w:p w14:paraId="55AC4325">
      <w:pPr>
        <w:pStyle w:val="13"/>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“先还后贷”方式适用范围更广，但需要职工提前准备资金结清商业贷款，可能对部分职工造成短期资金压力。</w:t>
      </w:r>
    </w:p>
    <w:p w14:paraId="125A9EF4">
      <w:pPr>
        <w:pStyle w:val="5"/>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0" w:firstLineChars="200"/>
        <w:rPr>
          <w:rStyle w:val="14"/>
          <w:rFonts w:hint="eastAsia" w:ascii="楷体_GB2312" w:hAnsi="楷体_GB2312" w:eastAsia="楷体_GB2312"/>
          <w:b w:val="0"/>
          <w:i w:val="0"/>
          <w:color w:val="000000"/>
          <w:spacing w:val="0"/>
          <w:sz w:val="32"/>
          <w:szCs w:val="32"/>
          <w:lang w:eastAsia="zh-CN"/>
        </w:rPr>
      </w:pPr>
      <w:r>
        <w:rPr>
          <w:rStyle w:val="14"/>
          <w:rFonts w:hint="eastAsia" w:ascii="楷体_GB2312" w:hAnsi="楷体_GB2312" w:eastAsia="楷体_GB2312"/>
          <w:b w:val="0"/>
          <w:i w:val="0"/>
          <w:color w:val="000000"/>
          <w:spacing w:val="0"/>
          <w:sz w:val="32"/>
          <w:szCs w:val="32"/>
          <w:lang w:eastAsia="zh-CN"/>
        </w:rPr>
        <w:t>（四）</w:t>
      </w:r>
      <w:r>
        <w:rPr>
          <w:rStyle w:val="14"/>
          <w:rFonts w:hint="eastAsia" w:ascii="楷体_GB2312" w:hAnsi="楷体_GB2312" w:eastAsia="楷体_GB2312"/>
          <w:b w:val="0"/>
          <w:i w:val="0"/>
          <w:color w:val="000000"/>
          <w:spacing w:val="0"/>
          <w:sz w:val="32"/>
          <w:szCs w:val="32"/>
        </w:rPr>
        <w:t>办理流程</w:t>
      </w:r>
    </w:p>
    <w:p w14:paraId="447896FB">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1.</w:t>
      </w:r>
      <w:r>
        <w:rPr>
          <w:rStyle w:val="14"/>
          <w:rFonts w:hint="eastAsia" w:ascii="仿宋_GB2312" w:hAnsi="仿宋_GB2312" w:eastAsia="仿宋_GB2312"/>
          <w:i w:val="0"/>
          <w:color w:val="000000"/>
          <w:spacing w:val="0"/>
          <w:sz w:val="32"/>
          <w:szCs w:val="32"/>
        </w:rPr>
        <w:t>顺位抵押方式</w:t>
      </w:r>
      <w:r>
        <w:rPr>
          <w:rFonts w:hint="eastAsia" w:ascii="仿宋_GB2312" w:hAnsi="仿宋_GB2312" w:eastAsia="仿宋_GB2312"/>
          <w:i w:val="0"/>
          <w:color w:val="000000"/>
          <w:spacing w:val="0"/>
          <w:sz w:val="32"/>
          <w:szCs w:val="32"/>
        </w:rPr>
        <w:t>：</w:t>
      </w:r>
    </w:p>
    <w:p w14:paraId="44AAD8BB">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提交申请并审核签约→原商业贷款银行审批→办理顺位抵押登记→发放公积金贷款并提前还贷→解除原商业贷款抵押登记→邮寄借款合同</w:t>
      </w:r>
      <w:r>
        <w:rPr>
          <w:rFonts w:hint="eastAsia" w:ascii="仿宋_GB2312" w:hAnsi="仿宋_GB2312" w:eastAsia="仿宋_GB2312"/>
          <w:i w:val="0"/>
          <w:color w:val="000000"/>
          <w:spacing w:val="0"/>
          <w:sz w:val="32"/>
          <w:szCs w:val="32"/>
          <w:lang w:eastAsia="zh-CN"/>
        </w:rPr>
        <w:t>（借款人自取）</w:t>
      </w:r>
    </w:p>
    <w:p w14:paraId="55804303">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left="720" w:right="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2.</w:t>
      </w:r>
      <w:r>
        <w:rPr>
          <w:rStyle w:val="14"/>
          <w:rFonts w:hint="eastAsia" w:ascii="仿宋_GB2312" w:hAnsi="仿宋_GB2312" w:eastAsia="仿宋_GB2312"/>
          <w:i w:val="0"/>
          <w:color w:val="000000"/>
          <w:spacing w:val="0"/>
          <w:sz w:val="32"/>
          <w:szCs w:val="32"/>
        </w:rPr>
        <w:t>先还后贷方式</w:t>
      </w:r>
      <w:r>
        <w:rPr>
          <w:rFonts w:hint="eastAsia" w:ascii="仿宋_GB2312" w:hAnsi="仿宋_GB2312" w:eastAsia="仿宋_GB2312"/>
          <w:i w:val="0"/>
          <w:color w:val="000000"/>
          <w:spacing w:val="0"/>
          <w:sz w:val="32"/>
          <w:szCs w:val="32"/>
        </w:rPr>
        <w:t>：</w:t>
      </w:r>
    </w:p>
    <w:p w14:paraId="4D15F1C2">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提交预申请并确认→提前还清商业贷款并解除抵押→签订公积金贷款合同并办理抵押登记→发放公积金贷款→邮寄借款合同</w:t>
      </w:r>
      <w:r>
        <w:rPr>
          <w:rFonts w:hint="eastAsia" w:ascii="仿宋_GB2312" w:hAnsi="仿宋_GB2312" w:eastAsia="仿宋_GB2312"/>
          <w:i w:val="0"/>
          <w:color w:val="000000"/>
          <w:spacing w:val="0"/>
          <w:sz w:val="32"/>
          <w:szCs w:val="32"/>
          <w:lang w:eastAsia="zh-CN"/>
        </w:rPr>
        <w:t>（借款人自取）</w:t>
      </w:r>
    </w:p>
    <w:p w14:paraId="57BEDBFF">
      <w:pPr>
        <w:pStyle w:val="13"/>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3" w:firstLineChars="200"/>
        <w:rPr>
          <w:rStyle w:val="14"/>
          <w:rFonts w:hint="eastAsia" w:ascii="仿宋_GB2312" w:hAnsi="仿宋_GB2312" w:eastAsia="仿宋_GB2312"/>
          <w:i w:val="0"/>
          <w:color w:val="000000"/>
          <w:spacing w:val="0"/>
          <w:sz w:val="32"/>
          <w:szCs w:val="32"/>
        </w:rPr>
      </w:pPr>
      <w:r>
        <w:rPr>
          <w:rStyle w:val="14"/>
          <w:rFonts w:hint="eastAsia" w:ascii="仿宋_GB2312" w:hAnsi="仿宋_GB2312" w:eastAsia="仿宋_GB2312"/>
          <w:i w:val="0"/>
          <w:color w:val="000000"/>
          <w:spacing w:val="0"/>
          <w:sz w:val="32"/>
          <w:szCs w:val="32"/>
        </w:rPr>
        <w:t>解读</w:t>
      </w:r>
      <w:r>
        <w:rPr>
          <w:rFonts w:hint="eastAsia" w:ascii="仿宋_GB2312" w:hAnsi="仿宋_GB2312" w:eastAsia="仿宋_GB2312"/>
          <w:i w:val="0"/>
          <w:color w:val="000000"/>
          <w:spacing w:val="0"/>
          <w:sz w:val="32"/>
          <w:szCs w:val="32"/>
        </w:rPr>
        <w:t>：流程设计清晰，确保贷款发放与抵押登记无缝衔接，降低操作风险。</w:t>
      </w:r>
    </w:p>
    <w:p w14:paraId="532D6BCF">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公积金中心与银行之间的系统对接和信息共享是关键，提高了办理效率。</w:t>
      </w:r>
    </w:p>
    <w:p w14:paraId="45EE2008">
      <w:pPr>
        <w:pStyle w:val="5"/>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0" w:firstLineChars="200"/>
        <w:rPr>
          <w:rStyle w:val="14"/>
          <w:rFonts w:hint="eastAsia" w:ascii="楷体_GB2312" w:hAnsi="楷体_GB2312" w:eastAsia="楷体_GB2312"/>
          <w:b w:val="0"/>
          <w:i w:val="0"/>
          <w:color w:val="000000"/>
          <w:spacing w:val="0"/>
          <w:sz w:val="32"/>
          <w:szCs w:val="32"/>
          <w:lang w:eastAsia="zh-CN"/>
        </w:rPr>
      </w:pPr>
      <w:r>
        <w:rPr>
          <w:rStyle w:val="14"/>
          <w:rFonts w:hint="eastAsia" w:ascii="楷体_GB2312" w:hAnsi="楷体_GB2312" w:eastAsia="楷体_GB2312"/>
          <w:b w:val="0"/>
          <w:i w:val="0"/>
          <w:color w:val="000000"/>
          <w:spacing w:val="0"/>
          <w:sz w:val="32"/>
          <w:szCs w:val="32"/>
          <w:lang w:eastAsia="zh-CN"/>
        </w:rPr>
        <w:t>（五）</w:t>
      </w:r>
      <w:r>
        <w:rPr>
          <w:rStyle w:val="14"/>
          <w:rFonts w:hint="eastAsia" w:ascii="楷体_GB2312" w:hAnsi="楷体_GB2312" w:eastAsia="楷体_GB2312"/>
          <w:b w:val="0"/>
          <w:i w:val="0"/>
          <w:color w:val="000000"/>
          <w:spacing w:val="0"/>
          <w:sz w:val="32"/>
          <w:szCs w:val="32"/>
        </w:rPr>
        <w:t>政策灵活性</w:t>
      </w:r>
    </w:p>
    <w:p w14:paraId="08FA882D">
      <w:pPr>
        <w:pStyle w:val="5"/>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0" w:firstLineChars="200"/>
        <w:rPr>
          <w:rStyle w:val="14"/>
          <w:rFonts w:hint="eastAsia" w:ascii="仿宋_GB2312" w:hAnsi="仿宋_GB2312" w:eastAsia="仿宋_GB2312"/>
          <w:b w:val="0"/>
          <w:i w:val="0"/>
          <w:color w:val="000000"/>
          <w:spacing w:val="0"/>
          <w:sz w:val="32"/>
          <w:szCs w:val="32"/>
          <w:lang w:val="en-US" w:eastAsia="zh-CN"/>
        </w:rPr>
      </w:pPr>
      <w:r>
        <w:rPr>
          <w:rStyle w:val="14"/>
          <w:rFonts w:hint="eastAsia" w:ascii="仿宋_GB2312" w:hAnsi="仿宋_GB2312" w:eastAsia="仿宋_GB2312"/>
          <w:b w:val="0"/>
          <w:i w:val="0"/>
          <w:color w:val="000000"/>
          <w:spacing w:val="0"/>
          <w:sz w:val="32"/>
          <w:szCs w:val="32"/>
          <w:lang w:val="en-US" w:eastAsia="zh-CN"/>
        </w:rPr>
        <w:t>1.</w:t>
      </w:r>
      <w:r>
        <w:rPr>
          <w:rStyle w:val="14"/>
          <w:rFonts w:hint="eastAsia" w:ascii="仿宋_GB2312" w:hAnsi="仿宋_GB2312" w:eastAsia="仿宋_GB2312"/>
          <w:b w:val="0"/>
          <w:i w:val="0"/>
          <w:color w:val="000000"/>
          <w:spacing w:val="0"/>
          <w:sz w:val="32"/>
          <w:szCs w:val="32"/>
        </w:rPr>
        <w:t>资金运用率挂钩</w:t>
      </w:r>
      <w:r>
        <w:rPr>
          <w:rFonts w:hint="eastAsia" w:ascii="仿宋_GB2312" w:hAnsi="仿宋_GB2312" w:eastAsia="仿宋_GB2312"/>
          <w:i w:val="0"/>
          <w:color w:val="000000"/>
          <w:spacing w:val="0"/>
          <w:sz w:val="32"/>
          <w:szCs w:val="32"/>
        </w:rPr>
        <w:t>：</w:t>
      </w:r>
      <w:r>
        <w:rPr>
          <w:rFonts w:hint="eastAsia" w:ascii="仿宋_GB2312" w:hAnsi="仿宋_GB2312" w:eastAsia="仿宋_GB2312"/>
          <w:b w:val="0"/>
          <w:bCs/>
          <w:i w:val="0"/>
          <w:color w:val="000000"/>
          <w:spacing w:val="0"/>
          <w:sz w:val="32"/>
          <w:szCs w:val="32"/>
        </w:rPr>
        <w:t>当公积金贷款个贷率大于95%时，可暂停“商转公”政策或缩小贷款范围。</w:t>
      </w:r>
    </w:p>
    <w:p w14:paraId="470CBE26">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3" w:firstLineChars="200"/>
        <w:rPr>
          <w:rStyle w:val="14"/>
          <w:rFonts w:hint="eastAsia" w:ascii="仿宋_GB2312" w:hAnsi="仿宋_GB2312" w:eastAsia="仿宋_GB2312"/>
          <w:i w:val="0"/>
          <w:color w:val="000000"/>
          <w:spacing w:val="0"/>
          <w:sz w:val="32"/>
          <w:szCs w:val="32"/>
          <w:lang w:val="en-US" w:eastAsia="zh-CN"/>
        </w:rPr>
      </w:pPr>
      <w:r>
        <w:rPr>
          <w:rStyle w:val="14"/>
          <w:rFonts w:hint="eastAsia" w:ascii="仿宋_GB2312" w:hAnsi="仿宋_GB2312" w:eastAsia="仿宋_GB2312"/>
          <w:i w:val="0"/>
          <w:color w:val="000000"/>
          <w:spacing w:val="0"/>
          <w:sz w:val="32"/>
          <w:szCs w:val="32"/>
          <w:lang w:val="en-US" w:eastAsia="zh-CN"/>
        </w:rPr>
        <w:t>2.</w:t>
      </w:r>
      <w:r>
        <w:rPr>
          <w:rStyle w:val="14"/>
          <w:rFonts w:hint="eastAsia" w:ascii="仿宋_GB2312" w:hAnsi="仿宋_GB2312" w:eastAsia="仿宋_GB2312"/>
          <w:i w:val="0"/>
          <w:color w:val="000000"/>
          <w:spacing w:val="0"/>
          <w:sz w:val="32"/>
          <w:szCs w:val="32"/>
        </w:rPr>
        <w:t>合作银行扩展</w:t>
      </w:r>
      <w:r>
        <w:rPr>
          <w:rFonts w:hint="eastAsia" w:ascii="仿宋_GB2312" w:hAnsi="仿宋_GB2312" w:eastAsia="仿宋_GB2312"/>
          <w:i w:val="0"/>
          <w:color w:val="000000"/>
          <w:spacing w:val="0"/>
          <w:sz w:val="32"/>
          <w:szCs w:val="32"/>
        </w:rPr>
        <w:t>：公积金中心可根据需要增加合作银行范围，扩大政策覆盖面。</w:t>
      </w:r>
    </w:p>
    <w:p w14:paraId="489EBC65">
      <w:pPr>
        <w:pStyle w:val="13"/>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firstLine="643" w:firstLineChars="200"/>
        <w:rPr>
          <w:rStyle w:val="14"/>
          <w:rFonts w:hint="eastAsia" w:ascii="仿宋_GB2312" w:hAnsi="仿宋_GB2312" w:eastAsia="仿宋_GB2312"/>
          <w:i w:val="0"/>
          <w:color w:val="000000"/>
          <w:spacing w:val="0"/>
          <w:sz w:val="32"/>
          <w:szCs w:val="32"/>
        </w:rPr>
      </w:pPr>
      <w:r>
        <w:rPr>
          <w:rStyle w:val="14"/>
          <w:rFonts w:hint="eastAsia" w:ascii="仿宋_GB2312" w:hAnsi="仿宋_GB2312" w:eastAsia="仿宋_GB2312"/>
          <w:i w:val="0"/>
          <w:color w:val="000000"/>
          <w:spacing w:val="0"/>
          <w:sz w:val="32"/>
          <w:szCs w:val="32"/>
        </w:rPr>
        <w:t>解读</w:t>
      </w:r>
      <w:r>
        <w:rPr>
          <w:rFonts w:hint="eastAsia" w:ascii="仿宋_GB2312" w:hAnsi="仿宋_GB2312" w:eastAsia="仿宋_GB2312"/>
          <w:i w:val="0"/>
          <w:color w:val="000000"/>
          <w:spacing w:val="0"/>
          <w:sz w:val="32"/>
          <w:szCs w:val="32"/>
        </w:rPr>
        <w:t>：政策实施与公积金资金池的流动性挂钩，确保公积金贷款业务的可持续性。</w:t>
      </w:r>
    </w:p>
    <w:p w14:paraId="1AB1BE87">
      <w:pPr>
        <w:pStyle w:val="13"/>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right="0" w:firstLine="640" w:firstLineChars="200"/>
        <w:rPr>
          <w:rFonts w:hint="eastAsia" w:ascii="仿宋_GB2312" w:hAnsi="仿宋_GB2312" w:eastAsia="仿宋_GB2312"/>
          <w:i w:val="0"/>
          <w:color w:val="000000"/>
          <w:spacing w:val="0"/>
          <w:sz w:val="32"/>
          <w:szCs w:val="32"/>
        </w:rPr>
      </w:pPr>
      <w:r>
        <w:rPr>
          <w:rFonts w:hint="eastAsia" w:ascii="仿宋_GB2312" w:hAnsi="仿宋_GB2312" w:eastAsia="仿宋_GB2312"/>
          <w:i w:val="0"/>
          <w:color w:val="000000"/>
          <w:spacing w:val="0"/>
          <w:sz w:val="32"/>
          <w:szCs w:val="32"/>
        </w:rPr>
        <w:t>合作银行的扩展将惠及更多职工，提升政策的普惠性。</w:t>
      </w:r>
    </w:p>
    <w:p w14:paraId="3020B025">
      <w:pPr>
        <w:pStyle w:val="4"/>
        <w:keepNext w:val="0"/>
        <w:keepLines w:val="0"/>
        <w:pageBreakBefore w:val="0"/>
        <w:widowControl/>
        <w:suppressLineNumbers w:val="0"/>
        <w:kinsoku/>
        <w:wordWrap/>
        <w:overflowPunct/>
        <w:topLinePunct w:val="0"/>
        <w:autoSpaceDE/>
        <w:autoSpaceDN/>
        <w:bidi w:val="0"/>
        <w:snapToGrid w:val="0"/>
        <w:spacing w:beforeAutospacing="0" w:after="0" w:afterAutospacing="0" w:line="560" w:lineRule="exact"/>
        <w:ind w:left="0"/>
        <w:rPr>
          <w:rStyle w:val="14"/>
          <w:rFonts w:hint="eastAsia" w:ascii="黑体" w:hAnsi="黑体" w:eastAsia="黑体"/>
          <w:b w:val="0"/>
          <w:bCs/>
          <w:i w:val="0"/>
          <w:color w:val="000000"/>
          <w:spacing w:val="0"/>
          <w:sz w:val="32"/>
          <w:szCs w:val="32"/>
        </w:rPr>
      </w:pPr>
    </w:p>
    <w:sectPr>
      <w:footerReference r:id="rId3" w:type="default"/>
      <w:pgSz w:w="11906" w:h="16838"/>
      <w:pgMar w:top="2098" w:right="1474" w:bottom="1984" w:left="1587" w:header="850"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Liberation Sans">
    <w:altName w:val="Arial"/>
    <w:panose1 w:val="00000000000000000000"/>
    <w:charset w:val="00"/>
    <w:family w:val="swiss"/>
    <w:pitch w:val="default"/>
    <w:sig w:usb0="00000000" w:usb1="00000000" w:usb2="00000000" w:usb3="00000000" w:csb0="00040001" w:csb1="00000000"/>
  </w:font>
  <w:font w:name="Arial">
    <w:panose1 w:val="020B0604020202020204"/>
    <w:charset w:val="00"/>
    <w:family w:val="auto"/>
    <w:pitch w:val="default"/>
    <w:sig w:usb0="E0002EFF" w:usb1="C000785B" w:usb2="00000009" w:usb3="00000000" w:csb0="400001FF" w:csb1="FFFF0000"/>
  </w:font>
  <w:font w:name="Noto Sans CJK SC Regular">
    <w:altName w:val="宋体"/>
    <w:panose1 w:val="020B0500000000000000"/>
    <w:charset w:val="86"/>
    <w:family w:val="auto"/>
    <w:pitch w:val="default"/>
    <w:sig w:usb0="00000000" w:usb1="00000000" w:usb2="00000016" w:usb3="00000000" w:csb0="602E0107"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4595F">
    <w:pPr>
      <w:pStyle w:val="10"/>
      <w:tabs>
        <w:tab w:val="clear" w:pos="4153"/>
        <w:tab w:val="clear" w:pos="8306"/>
      </w:tabs>
      <w:rPr>
        <w:sz w:val="18"/>
      </w:rPr>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4432933D">
                          <w:pPr>
                            <w:pStyle w:val="10"/>
                            <w:tabs>
                              <w:tab w:val="clear" w:pos="4153"/>
                              <w:tab w:val="clear" w:pos="8306"/>
                            </w:tabs>
                          </w:pPr>
                          <w:r>
                            <w:fldChar w:fldCharType="begin"/>
                          </w:r>
                          <w:r>
                            <w:instrText xml:space="preserve"> PAGE  \* MERGEFORMAT </w:instrText>
                          </w:r>
                          <w:r>
                            <w:fldChar w:fldCharType="separate"/>
                          </w:r>
                          <w:r>
                            <w:t>1</w:t>
                          </w:r>
                          <w:r>
                            <w:fldChar w:fldCharType="end"/>
                          </w:r>
                        </w:p>
                        <w:p w14:paraId="74C5207A"/>
                      </w:txbxContent>
                    </wps:txbx>
                    <wps:bodyPr rot="0" vert="horz" wrap="square" lIns="91440" tIns="45720" rIns="91440" bIns="45720" anchor="t" anchorCtr="0"/>
                  </wps:wsp>
                </a:graphicData>
              </a:graphic>
            </wp:anchor>
          </w:drawing>
        </mc:Choice>
        <mc:Fallback>
          <w:pict>
            <v:rect id="_x0000_s2049" o:spid="_x0000_s1026" o:spt="1" style="position:absolute;left:0pt;margin-top:0pt;height:144pt;width:144pt;mso-position-horizontal:outside;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jKjB97oBAACGAwAADgAAAAAAAAABACAAAAAiAQAAZHJzL2Uyb0RvYy54bWxQSwUGAAAA&#10;AAYABgBZAQAATgUAAAAA&#10;">
              <v:fill on="f" focussize="0,0"/>
              <v:stroke on="f"/>
              <v:imagedata o:title=""/>
              <o:lock v:ext="edit" aspectratio="f"/>
              <v:textbox>
                <w:txbxContent>
                  <w:p w14:paraId="4432933D">
                    <w:pPr>
                      <w:pStyle w:val="10"/>
                      <w:tabs>
                        <w:tab w:val="clear" w:pos="4153"/>
                        <w:tab w:val="clear" w:pos="8306"/>
                      </w:tabs>
                    </w:pPr>
                    <w:r>
                      <w:fldChar w:fldCharType="begin"/>
                    </w:r>
                    <w:r>
                      <w:instrText xml:space="preserve"> PAGE  \* MERGEFORMAT </w:instrText>
                    </w:r>
                    <w:r>
                      <w:fldChar w:fldCharType="separate"/>
                    </w:r>
                    <w:r>
                      <w:t>1</w:t>
                    </w:r>
                    <w:r>
                      <w:fldChar w:fldCharType="end"/>
                    </w:r>
                  </w:p>
                  <w:p w14:paraId="74C5207A"/>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1"/>
  <w:displayVerticalDrawingGridEvery w:val="1"/>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FD76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5"/>
    <w:qFormat/>
    <w:uiPriority w:val="0"/>
    <w:pPr>
      <w:widowControl w:val="0"/>
      <w:suppressAutoHyphens/>
      <w:bidi w:val="0"/>
      <w:jc w:val="both"/>
    </w:pPr>
    <w:rPr>
      <w:rFonts w:ascii="Calibri" w:hAnsi="Calibri" w:eastAsia="宋体" w:cs="Times New Roman"/>
      <w:color w:val="000000"/>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标题 31"/>
    <w:basedOn w:val="1"/>
    <w:qFormat/>
    <w:uiPriority w:val="0"/>
    <w:pPr>
      <w:spacing w:before="100" w:beforeAutospacing="1" w:after="100" w:afterAutospacing="1"/>
      <w:jc w:val="left"/>
      <w:outlineLvl w:val="2"/>
    </w:pPr>
    <w:rPr>
      <w:rFonts w:hint="eastAsia" w:ascii="宋体" w:hAnsi="宋体" w:eastAsia="宋体"/>
      <w:b/>
      <w:kern w:val="0"/>
      <w:sz w:val="27"/>
      <w:szCs w:val="27"/>
      <w:lang w:val="en-US" w:eastAsia="zh-CN" w:bidi="ar"/>
    </w:rPr>
  </w:style>
  <w:style w:type="paragraph" w:customStyle="1" w:styleId="5">
    <w:name w:val="标题 41"/>
    <w:basedOn w:val="1"/>
    <w:qFormat/>
    <w:uiPriority w:val="0"/>
    <w:pPr>
      <w:spacing w:before="100" w:beforeAutospacing="1" w:after="100" w:afterAutospacing="1"/>
      <w:jc w:val="left"/>
      <w:outlineLvl w:val="3"/>
    </w:pPr>
    <w:rPr>
      <w:rFonts w:hint="eastAsia" w:ascii="宋体" w:hAnsi="宋体" w:eastAsia="宋体"/>
      <w:b/>
      <w:kern w:val="0"/>
      <w:sz w:val="24"/>
      <w:szCs w:val="24"/>
      <w:lang w:val="en-US" w:eastAsia="zh-CN" w:bidi="ar"/>
    </w:rPr>
  </w:style>
  <w:style w:type="character" w:customStyle="1" w:styleId="6">
    <w:name w:val="默认段落字体11"/>
    <w:link w:val="1"/>
    <w:uiPriority w:val="0"/>
  </w:style>
  <w:style w:type="table" w:customStyle="1" w:styleId="7">
    <w:name w:val="普通表格1"/>
    <w:semiHidden/>
    <w:qFormat/>
    <w:uiPriority w:val="0"/>
  </w:style>
  <w:style w:type="paragraph" w:customStyle="1" w:styleId="8">
    <w:name w:val="题注1"/>
    <w:basedOn w:val="1"/>
    <w:qFormat/>
    <w:uiPriority w:val="0"/>
    <w:pPr>
      <w:widowControl w:val="0"/>
      <w:suppressLineNumbers/>
      <w:suppressAutoHyphens/>
      <w:spacing w:before="120" w:after="120"/>
    </w:pPr>
    <w:rPr>
      <w:i/>
      <w:iCs/>
      <w:sz w:val="24"/>
      <w:szCs w:val="24"/>
    </w:rPr>
  </w:style>
  <w:style w:type="paragraph" w:customStyle="1" w:styleId="9">
    <w:name w:val="正文文本1"/>
    <w:basedOn w:val="1"/>
    <w:qFormat/>
    <w:uiPriority w:val="0"/>
    <w:pPr>
      <w:spacing w:before="0" w:after="140" w:line="276" w:lineRule="auto"/>
    </w:pPr>
  </w:style>
  <w:style w:type="paragraph" w:customStyle="1" w:styleId="10">
    <w:name w:val="页脚1"/>
    <w:basedOn w:val="1"/>
    <w:qFormat/>
    <w:uiPriority w:val="0"/>
    <w:pPr>
      <w:tabs>
        <w:tab w:val="center" w:pos="4153"/>
        <w:tab w:val="right" w:pos="8306"/>
      </w:tabs>
      <w:snapToGrid w:val="0"/>
      <w:jc w:val="left"/>
    </w:pPr>
    <w:rPr>
      <w:sz w:val="18"/>
    </w:rPr>
  </w:style>
  <w:style w:type="paragraph" w:customStyle="1" w:styleId="11">
    <w:name w:val="页眉1"/>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2">
    <w:name w:val="列表1"/>
    <w:basedOn w:val="9"/>
    <w:qFormat/>
    <w:uiPriority w:val="0"/>
  </w:style>
  <w:style w:type="paragraph" w:customStyle="1" w:styleId="13">
    <w:name w:val="普通(网站)1"/>
    <w:basedOn w:val="1"/>
    <w:qFormat/>
    <w:uiPriority w:val="0"/>
    <w:pPr>
      <w:spacing w:before="100" w:beforeAutospacing="1" w:after="100" w:afterAutospacing="1"/>
      <w:ind w:left="0" w:right="0"/>
      <w:jc w:val="left"/>
    </w:pPr>
    <w:rPr>
      <w:kern w:val="0"/>
      <w:sz w:val="24"/>
      <w:lang w:val="en-US" w:eastAsia="zh-CN" w:bidi="ar"/>
    </w:rPr>
  </w:style>
  <w:style w:type="character" w:customStyle="1" w:styleId="14">
    <w:name w:val="要点1"/>
    <w:basedOn w:val="6"/>
    <w:link w:val="1"/>
    <w:qFormat/>
    <w:uiPriority w:val="0"/>
    <w:rPr>
      <w:b/>
    </w:rPr>
  </w:style>
  <w:style w:type="character" w:customStyle="1" w:styleId="15">
    <w:name w:val="默认段落字体1"/>
    <w:link w:val="1"/>
    <w:qFormat/>
    <w:uiPriority w:val="0"/>
  </w:style>
  <w:style w:type="paragraph" w:customStyle="1" w:styleId="16">
    <w:name w:val="Heading"/>
    <w:basedOn w:val="1"/>
    <w:qFormat/>
    <w:uiPriority w:val="0"/>
    <w:pPr>
      <w:keepNext/>
      <w:widowControl w:val="0"/>
      <w:suppressAutoHyphens/>
      <w:spacing w:before="240" w:after="120"/>
    </w:pPr>
    <w:rPr>
      <w:rFonts w:ascii="Liberation Sans" w:hAnsi="Liberation Sans" w:eastAsia="Noto Sans CJK SC Regular"/>
      <w:sz w:val="28"/>
      <w:szCs w:val="28"/>
      <w:lang w:bidi="ar-SA"/>
    </w:rPr>
  </w:style>
  <w:style w:type="paragraph" w:customStyle="1" w:styleId="17">
    <w:name w:val="Index"/>
    <w:basedOn w:val="1"/>
    <w:qFormat/>
    <w:uiPriority w:val="0"/>
    <w:pPr>
      <w:widowControl w:val="0"/>
      <w:suppressLineNumbers/>
      <w:suppressAutoHyphens/>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1433</Words>
  <Characters>1450</Characters>
  <Lines>0</Lines>
  <Paragraphs>0</Paragraphs>
  <TotalTime>0</TotalTime>
  <ScaleCrop>false</ScaleCrop>
  <LinksUpToDate>false</LinksUpToDate>
  <CharactersWithSpaces>1450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2025-04-01T08:26:05Z</dcterms:created>
  <dc:creator>Administrator</dc:creator>
  <cp:lastModifiedBy>Administrator</cp:lastModifiedBy>
  <dcterms:modified xsi:type="dcterms:W3CDTF">2025-04-01T08:26:25Z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C64BDC9204E540FD8A68349312B0028B_12</vt:lpwstr>
  </property>
</Properties>
</file>